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6290" w14:textId="1C8759F8" w:rsidR="0094099E" w:rsidRDefault="0094099E" w:rsidP="0058747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Hlk106723742"/>
      <w:r w:rsidRPr="00CA680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587471">
        <w:rPr>
          <w:rFonts w:ascii="黑体" w:eastAsia="黑体" w:hAnsi="黑体"/>
          <w:color w:val="000000"/>
          <w:sz w:val="32"/>
          <w:szCs w:val="32"/>
        </w:rPr>
        <w:t>2</w:t>
      </w:r>
      <w:r w:rsidR="00587471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20DEF07C" w14:textId="77777777" w:rsidR="00587471" w:rsidRPr="00CA680A" w:rsidRDefault="00587471" w:rsidP="00587471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bookmarkEnd w:id="0"/>
    <w:p w14:paraId="78810F0B" w14:textId="77777777" w:rsidR="0094099E" w:rsidRPr="00587471" w:rsidRDefault="0094099E" w:rsidP="00587471">
      <w:pPr>
        <w:jc w:val="center"/>
        <w:rPr>
          <w:rFonts w:ascii="方正小标宋简体" w:eastAsia="方正小标宋简体" w:hAnsi="宋体" w:cs="宋体" w:hint="eastAsia"/>
          <w:color w:val="000000"/>
          <w:sz w:val="40"/>
          <w:szCs w:val="40"/>
        </w:rPr>
      </w:pPr>
      <w:r w:rsidRPr="00587471">
        <w:rPr>
          <w:rFonts w:ascii="方正小标宋简体" w:eastAsia="方正小标宋简体" w:hAnsi="宋体" w:cs="宋体" w:hint="eastAsia"/>
          <w:color w:val="000000"/>
          <w:sz w:val="40"/>
          <w:szCs w:val="40"/>
        </w:rPr>
        <w:t>外派员工新冠肺炎高风险基础性疾病清单</w:t>
      </w:r>
    </w:p>
    <w:p w14:paraId="0A2B05F2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一、脑神经、脑血管类</w:t>
      </w:r>
    </w:p>
    <w:p w14:paraId="2F8FCC96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存在不可逆的神经系统功能障碍并影响日常工作</w:t>
      </w:r>
      <w:r w:rsidRPr="00CA680A">
        <w:rPr>
          <w:rFonts w:ascii="仿宋_GB2312" w:eastAsia="仿宋_GB2312"/>
          <w:color w:val="000000"/>
          <w:sz w:val="32"/>
          <w:szCs w:val="32"/>
        </w:rPr>
        <w:t>(脑卒中、创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伤、脑肿瘤）；稳定期癫痫病</w:t>
      </w:r>
      <w:r w:rsidRPr="00CA680A">
        <w:rPr>
          <w:rFonts w:ascii="仿宋_GB2312" w:eastAsia="仿宋_GB2312"/>
          <w:color w:val="000000"/>
          <w:sz w:val="32"/>
          <w:szCs w:val="32"/>
        </w:rPr>
        <w:t>;未能明确诊断的其他神经系统疾病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且影响日常生活。</w:t>
      </w:r>
    </w:p>
    <w:p w14:paraId="3AA86EC2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CA680A">
        <w:rPr>
          <w:rFonts w:ascii="黑体" w:eastAsia="黑体" w:hAnsi="黑体"/>
          <w:color w:val="000000"/>
          <w:sz w:val="32"/>
          <w:szCs w:val="32"/>
        </w:rPr>
        <w:t>心血管类</w:t>
      </w:r>
    </w:p>
    <w:p w14:paraId="6AADE144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CA680A">
        <w:rPr>
          <w:rFonts w:ascii="仿宋_GB2312" w:eastAsia="仿宋_GB2312" w:hint="eastAsia"/>
          <w:color w:val="000000"/>
          <w:sz w:val="32"/>
          <w:szCs w:val="32"/>
        </w:rPr>
        <w:t>高血压病高危险</w:t>
      </w:r>
      <w:proofErr w:type="gramEnd"/>
      <w:r w:rsidRPr="00CA680A">
        <w:rPr>
          <w:rFonts w:ascii="仿宋_GB2312" w:eastAsia="仿宋_GB2312" w:hint="eastAsia"/>
          <w:color w:val="000000"/>
          <w:sz w:val="32"/>
          <w:szCs w:val="32"/>
        </w:rPr>
        <w:t>组与极高危险组</w:t>
      </w:r>
      <w:r w:rsidRPr="00CA680A">
        <w:rPr>
          <w:rFonts w:ascii="仿宋_GB2312" w:eastAsia="仿宋_GB2312"/>
          <w:color w:val="000000"/>
          <w:sz w:val="32"/>
          <w:szCs w:val="32"/>
        </w:rPr>
        <w:t>(收缩压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180mmHg,舒张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压≥</w:t>
      </w:r>
      <w:r w:rsidRPr="00CA680A">
        <w:rPr>
          <w:rFonts w:ascii="仿宋_GB2312" w:eastAsia="仿宋_GB2312"/>
          <w:color w:val="000000"/>
          <w:sz w:val="32"/>
          <w:szCs w:val="32"/>
        </w:rPr>
        <w:t>110mmHg)并控制不佳;心功能3级以上(器质型心脏病、血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栓、冠心病、风湿性心脏病等、肺心病</w:t>
      </w:r>
      <w:r w:rsidRPr="00CA680A">
        <w:rPr>
          <w:rFonts w:ascii="仿宋_GB2312" w:eastAsia="仿宋_GB2312"/>
          <w:color w:val="000000"/>
          <w:sz w:val="32"/>
          <w:szCs w:val="32"/>
        </w:rPr>
        <w:t>)、心律失常(无症状且不需要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治疗的偶发房早、室早除外</w:t>
      </w:r>
      <w:r w:rsidRPr="00CA680A">
        <w:rPr>
          <w:rFonts w:ascii="仿宋_GB2312" w:eastAsia="仿宋_GB2312"/>
          <w:color w:val="000000"/>
          <w:sz w:val="32"/>
          <w:szCs w:val="32"/>
        </w:rPr>
        <w:t>);体检无法通过运动平板实验(仅限于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前往高原地区工作员工）。</w:t>
      </w:r>
    </w:p>
    <w:p w14:paraId="2BA7D0E9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三、呼吸系统类</w:t>
      </w:r>
    </w:p>
    <w:p w14:paraId="60064100" w14:textId="77777777" w:rsidR="0094099E" w:rsidRPr="00CA680A" w:rsidRDefault="0094099E" w:rsidP="00587471">
      <w:pPr>
        <w:widowControl/>
        <w:tabs>
          <w:tab w:val="left" w:pos="4971"/>
        </w:tabs>
        <w:ind w:firstLine="57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肺功能障碍、结构性肺病并反复感染、肺部传染病、有呼吸困难症状的（无法通过心肺运动试验、重度欧萨斯综合征）。</w:t>
      </w:r>
    </w:p>
    <w:p w14:paraId="6AF88C57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四、消化系统类</w:t>
      </w:r>
    </w:p>
    <w:p w14:paraId="5C2CE2A9" w14:textId="77777777" w:rsidR="0094099E" w:rsidRPr="00CA680A" w:rsidRDefault="0094099E" w:rsidP="00587471">
      <w:pPr>
        <w:widowControl/>
        <w:tabs>
          <w:tab w:val="left" w:pos="4971"/>
        </w:tabs>
        <w:ind w:firstLine="57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活动性消化系统病变（有黑便、呕血的溃疡病者）；肝硬化、各钟慢性活动性肝病（自身免疫、酒精性肝炎、病毒性肝炎、药物损伤等）；肝功能严重损害；各钟急性肝炎。</w:t>
      </w:r>
    </w:p>
    <w:p w14:paraId="41004D61" w14:textId="77777777" w:rsidR="0094099E" w:rsidRPr="00790A9C" w:rsidRDefault="0094099E" w:rsidP="00587471">
      <w:pPr>
        <w:widowControl/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790A9C">
        <w:rPr>
          <w:rFonts w:ascii="黑体" w:eastAsia="黑体" w:hAnsi="黑体" w:hint="eastAsia"/>
          <w:color w:val="000000"/>
          <w:sz w:val="32"/>
          <w:szCs w:val="32"/>
        </w:rPr>
        <w:t>五、内分泌系统类</w:t>
      </w:r>
    </w:p>
    <w:p w14:paraId="43A54FDD" w14:textId="77777777" w:rsidR="0094099E" w:rsidRPr="00CA680A" w:rsidRDefault="0094099E" w:rsidP="00587471">
      <w:pPr>
        <w:widowControl/>
        <w:tabs>
          <w:tab w:val="left" w:pos="4971"/>
        </w:tabs>
        <w:ind w:firstLine="645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糖尿病控制不佳或有严重并发症；甲状腺功能控制不佳。</w:t>
      </w:r>
    </w:p>
    <w:p w14:paraId="37F5B205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六、血液系统类</w:t>
      </w:r>
    </w:p>
    <w:p w14:paraId="67BB3066" w14:textId="77777777" w:rsidR="0094099E" w:rsidRPr="00CA680A" w:rsidRDefault="0094099E" w:rsidP="00587471">
      <w:pPr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中度及以上贫血、其他出凝血功能障碍、严重血栓性疾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lastRenderedPageBreak/>
        <w:t>病。</w:t>
      </w:r>
    </w:p>
    <w:p w14:paraId="133C96F1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七、免疫系统类</w:t>
      </w:r>
    </w:p>
    <w:p w14:paraId="167765E2" w14:textId="2F86CE5B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各种原因导致的免疫功能缺陷、免疫抑制，且需长期药物治疗或其他替代治疗</w:t>
      </w:r>
      <w:r w:rsidRPr="00CA680A">
        <w:rPr>
          <w:rFonts w:ascii="仿宋_GB2312" w:eastAsia="仿宋_GB2312"/>
          <w:color w:val="000000"/>
          <w:sz w:val="32"/>
          <w:szCs w:val="32"/>
        </w:rPr>
        <w:t>;长期使用皮质类固醇或其他免疫抑制药物导致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免疫功能减退状态。</w:t>
      </w:r>
    </w:p>
    <w:p w14:paraId="7D8C49C4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八、</w:t>
      </w:r>
      <w:r w:rsidRPr="00CA680A">
        <w:rPr>
          <w:rFonts w:ascii="黑体" w:eastAsia="黑体" w:hAnsi="黑体"/>
          <w:color w:val="000000"/>
          <w:sz w:val="32"/>
          <w:szCs w:val="32"/>
        </w:rPr>
        <w:t>精神类</w:t>
      </w:r>
    </w:p>
    <w:p w14:paraId="09F6ED07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CA680A">
        <w:rPr>
          <w:rFonts w:ascii="仿宋_GB2312" w:eastAsia="仿宋_GB2312" w:hint="eastAsia"/>
          <w:color w:val="000000"/>
          <w:sz w:val="32"/>
          <w:szCs w:val="32"/>
        </w:rPr>
        <w:t>现发精神病</w:t>
      </w:r>
      <w:proofErr w:type="gramEnd"/>
      <w:r w:rsidRPr="00CA680A">
        <w:rPr>
          <w:rFonts w:ascii="仿宋_GB2312" w:eastAsia="仿宋_GB2312" w:hint="eastAsia"/>
          <w:color w:val="000000"/>
          <w:sz w:val="32"/>
          <w:szCs w:val="32"/>
        </w:rPr>
        <w:t>，或精神疾病虽已控制但仍需大量服药。</w:t>
      </w:r>
    </w:p>
    <w:p w14:paraId="60EFCCBB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九、</w:t>
      </w:r>
      <w:r w:rsidRPr="00CA680A">
        <w:rPr>
          <w:rFonts w:ascii="黑体" w:eastAsia="黑体" w:hAnsi="黑体"/>
          <w:color w:val="000000"/>
          <w:sz w:val="32"/>
          <w:szCs w:val="32"/>
        </w:rPr>
        <w:t>肿瘤类</w:t>
      </w:r>
    </w:p>
    <w:p w14:paraId="6A8DFBB2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恶性肿瘤活动期</w:t>
      </w:r>
      <w:r w:rsidRPr="00CA680A">
        <w:rPr>
          <w:rFonts w:ascii="仿宋_GB2312" w:eastAsia="仿宋_GB2312"/>
          <w:color w:val="000000"/>
          <w:sz w:val="32"/>
          <w:szCs w:val="32"/>
        </w:rPr>
        <w:t>;高度</w:t>
      </w:r>
      <w:proofErr w:type="gramStart"/>
      <w:r w:rsidRPr="00CA680A">
        <w:rPr>
          <w:rFonts w:ascii="仿宋_GB2312" w:eastAsia="仿宋_GB2312"/>
          <w:color w:val="000000"/>
          <w:sz w:val="32"/>
          <w:szCs w:val="32"/>
        </w:rPr>
        <w:t>可疑悉性肿瘤</w:t>
      </w:r>
      <w:proofErr w:type="gramEnd"/>
      <w:r w:rsidRPr="00CA680A">
        <w:rPr>
          <w:rFonts w:ascii="仿宋_GB2312" w:eastAsia="仿宋_GB2312"/>
          <w:color w:val="000000"/>
          <w:sz w:val="32"/>
          <w:szCs w:val="32"/>
        </w:rPr>
        <w:t>，如癌前病变(甲状腺除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外）等。</w:t>
      </w:r>
    </w:p>
    <w:p w14:paraId="63FDCCBB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十、</w:t>
      </w:r>
      <w:r w:rsidRPr="00CA680A">
        <w:rPr>
          <w:rFonts w:ascii="黑体" w:eastAsia="黑体" w:hAnsi="黑体"/>
          <w:color w:val="000000"/>
          <w:sz w:val="32"/>
          <w:szCs w:val="32"/>
        </w:rPr>
        <w:t>肾脏类</w:t>
      </w:r>
    </w:p>
    <w:p w14:paraId="1AA3FF72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肾功能不全且需长期药物治疗或其他替代治疗。</w:t>
      </w:r>
    </w:p>
    <w:p w14:paraId="208B8644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十一、</w:t>
      </w:r>
      <w:r w:rsidRPr="00CA680A">
        <w:rPr>
          <w:rFonts w:ascii="黑体" w:eastAsia="黑体" w:hAnsi="黑体"/>
          <w:color w:val="000000"/>
          <w:sz w:val="32"/>
          <w:szCs w:val="32"/>
        </w:rPr>
        <w:t>传染性疾病</w:t>
      </w:r>
    </w:p>
    <w:p w14:paraId="23AAADFB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影响正常生活、影响社会活动的传染性疾病。</w:t>
      </w:r>
    </w:p>
    <w:p w14:paraId="65E13067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十二、</w:t>
      </w:r>
      <w:r w:rsidRPr="00CA680A">
        <w:rPr>
          <w:rFonts w:ascii="黑体" w:eastAsia="黑体" w:hAnsi="黑体"/>
          <w:color w:val="000000"/>
          <w:sz w:val="32"/>
          <w:szCs w:val="32"/>
        </w:rPr>
        <w:t>外科</w:t>
      </w:r>
    </w:p>
    <w:p w14:paraId="0B0ABE6E" w14:textId="77777777" w:rsidR="0094099E" w:rsidRPr="00CA680A" w:rsidRDefault="0094099E" w:rsidP="00587471">
      <w:pPr>
        <w:widowControl/>
        <w:tabs>
          <w:tab w:val="left" w:pos="4971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手术后未恢复者。</w:t>
      </w:r>
    </w:p>
    <w:p w14:paraId="363841BA" w14:textId="77777777" w:rsidR="0094099E" w:rsidRPr="00CA680A" w:rsidRDefault="0094099E" w:rsidP="00587471">
      <w:pPr>
        <w:tabs>
          <w:tab w:val="left" w:pos="4971"/>
        </w:tabs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十三、其他</w:t>
      </w:r>
    </w:p>
    <w:p w14:paraId="26C1F7A7" w14:textId="3C8368D7" w:rsidR="0002403B" w:rsidRPr="0094099E" w:rsidRDefault="0094099E" w:rsidP="00587471">
      <w:pPr>
        <w:widowControl/>
        <w:tabs>
          <w:tab w:val="left" w:pos="4971"/>
        </w:tabs>
        <w:ind w:firstLineChars="200" w:firstLine="640"/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电解质紊乱</w:t>
      </w:r>
      <w:r w:rsidRPr="00CA680A">
        <w:rPr>
          <w:rFonts w:ascii="仿宋_GB2312" w:eastAsia="仿宋_GB2312"/>
          <w:color w:val="000000"/>
          <w:sz w:val="32"/>
          <w:szCs w:val="32"/>
        </w:rPr>
        <w:t>(不稳定或未纠正、低钾血症等）;肥胖(BMI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32)</w:t>
      </w:r>
      <w:proofErr w:type="gramStart"/>
      <w:r w:rsidRPr="00CA680A">
        <w:rPr>
          <w:rFonts w:ascii="仿宋_GB2312" w:eastAsia="仿宋_GB2312" w:hint="eastAsia"/>
          <w:color w:val="000000"/>
          <w:sz w:val="32"/>
          <w:szCs w:val="32"/>
        </w:rPr>
        <w:t>合井代谢</w:t>
      </w:r>
      <w:proofErr w:type="gramEnd"/>
      <w:r w:rsidRPr="00CA680A">
        <w:rPr>
          <w:rFonts w:ascii="仿宋_GB2312" w:eastAsia="仿宋_GB2312" w:hint="eastAsia"/>
          <w:color w:val="000000"/>
          <w:sz w:val="32"/>
          <w:szCs w:val="32"/>
        </w:rPr>
        <w:t>异常</w:t>
      </w:r>
      <w:r w:rsidRPr="00CA680A">
        <w:rPr>
          <w:rFonts w:ascii="仿宋_GB2312" w:eastAsia="仿宋_GB2312"/>
          <w:color w:val="000000"/>
          <w:sz w:val="32"/>
          <w:szCs w:val="32"/>
        </w:rPr>
        <w:t>(血糖、血压异常等)，肥胖(BMI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32)合并睡眠呼吸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暂停综合征。</w:t>
      </w:r>
    </w:p>
    <w:sectPr w:rsidR="0002403B" w:rsidRPr="0094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4F94" w14:textId="77777777" w:rsidR="00672AF1" w:rsidRDefault="00672AF1" w:rsidP="009C2683">
      <w:r>
        <w:separator/>
      </w:r>
    </w:p>
  </w:endnote>
  <w:endnote w:type="continuationSeparator" w:id="0">
    <w:p w14:paraId="418D1B56" w14:textId="77777777" w:rsidR="00672AF1" w:rsidRDefault="00672AF1" w:rsidP="009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1669" w14:textId="77777777" w:rsidR="00672AF1" w:rsidRDefault="00672AF1" w:rsidP="009C2683">
      <w:r>
        <w:separator/>
      </w:r>
    </w:p>
  </w:footnote>
  <w:footnote w:type="continuationSeparator" w:id="0">
    <w:p w14:paraId="3A462DD3" w14:textId="77777777" w:rsidR="00672AF1" w:rsidRDefault="00672AF1" w:rsidP="009C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9E"/>
    <w:rsid w:val="0002403B"/>
    <w:rsid w:val="00587471"/>
    <w:rsid w:val="00672AF1"/>
    <w:rsid w:val="00724DC1"/>
    <w:rsid w:val="0094099E"/>
    <w:rsid w:val="009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36D79"/>
  <w15:chartTrackingRefBased/>
  <w15:docId w15:val="{F5C6546A-D543-49CC-818C-9A2F95F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9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683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68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</Words>
  <Characters>639</Characters>
  <Application>Microsoft Office Word</Application>
  <DocSecurity>0</DocSecurity>
  <Lines>5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李达(LiDa)</dc:creator>
  <cp:keywords/>
  <dc:description/>
  <cp:lastModifiedBy>GAO Pengyu</cp:lastModifiedBy>
  <cp:revision>3</cp:revision>
  <dcterms:created xsi:type="dcterms:W3CDTF">2022-06-01T02:02:00Z</dcterms:created>
  <dcterms:modified xsi:type="dcterms:W3CDTF">2022-09-15T14:07:00Z</dcterms:modified>
</cp:coreProperties>
</file>